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EA08B" w14:textId="35537B54"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7CDD1CF6" w14:textId="3345A714"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0BCE34F6" w14:textId="67D439AE"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27D8D19D" w14:textId="533BFDF1"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2431F576" w14:textId="122768AF" w:rsidR="00214B1F" w:rsidRDefault="00E23A7C" w:rsidP="003C2DE9">
      <w:pPr>
        <w:spacing w:before="100" w:beforeAutospacing="1" w:after="100" w:afterAutospacing="1" w:line="240" w:lineRule="auto"/>
        <w:jc w:val="both"/>
        <w:rPr>
          <w:rFonts w:eastAsia="Times New Roman" w:cstheme="minorHAnsi"/>
          <w:b/>
          <w:bCs/>
          <w:kern w:val="0"/>
          <w:lang w:eastAsia="es-CL"/>
          <w14:ligatures w14:val="none"/>
        </w:rPr>
      </w:pPr>
      <w:r>
        <w:rPr>
          <w:noProof/>
        </w:rPr>
        <mc:AlternateContent>
          <mc:Choice Requires="wps">
            <w:drawing>
              <wp:anchor distT="0" distB="0" distL="114300" distR="114300" simplePos="0" relativeHeight="251659264" behindDoc="1" locked="0" layoutInCell="1" allowOverlap="1" wp14:anchorId="69A179EB" wp14:editId="0CE7C0D1">
                <wp:simplePos x="0" y="0"/>
                <wp:positionH relativeFrom="margin">
                  <wp:align>left</wp:align>
                </wp:positionH>
                <wp:positionV relativeFrom="paragraph">
                  <wp:posOffset>35560</wp:posOffset>
                </wp:positionV>
                <wp:extent cx="5612130" cy="2016760"/>
                <wp:effectExtent l="0" t="0" r="0" b="5715"/>
                <wp:wrapNone/>
                <wp:docPr id="1176785990" name="Cuadro de texto 1"/>
                <wp:cNvGraphicFramePr/>
                <a:graphic xmlns:a="http://schemas.openxmlformats.org/drawingml/2006/main">
                  <a:graphicData uri="http://schemas.microsoft.com/office/word/2010/wordprocessingShape">
                    <wps:wsp>
                      <wps:cNvSpPr txBox="1"/>
                      <wps:spPr>
                        <a:xfrm>
                          <a:off x="0" y="0"/>
                          <a:ext cx="5612130" cy="2016760"/>
                        </a:xfrm>
                        <a:prstGeom prst="rect">
                          <a:avLst/>
                        </a:prstGeom>
                        <a:noFill/>
                        <a:ln>
                          <a:noFill/>
                        </a:ln>
                      </wps:spPr>
                      <wps:txbx>
                        <w:txbxContent>
                          <w:p w14:paraId="49838713" w14:textId="77777777" w:rsidR="00214B1F" w:rsidRDefault="00214B1F" w:rsidP="00214B1F">
                            <w:pPr>
                              <w:spacing w:before="100" w:beforeAutospacing="1" w:after="100" w:afterAutospacing="1" w:line="240" w:lineRule="auto"/>
                              <w:jc w:val="center"/>
                              <w:rPr>
                                <w:rFonts w:eastAsia="Times New Roman" w:cstheme="minorHAnsi"/>
                                <w:b/>
                                <w:bCs/>
                                <w:color w:val="5B9BD5" w:themeColor="accent5"/>
                                <w:kern w:val="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p>
                          <w:p w14:paraId="52AE775F" w14:textId="77777777" w:rsidR="00214B1F" w:rsidRDefault="00214B1F" w:rsidP="00214B1F">
                            <w:pPr>
                              <w:spacing w:before="100" w:beforeAutospacing="1" w:after="100" w:afterAutospacing="1" w:line="240" w:lineRule="auto"/>
                              <w:jc w:val="center"/>
                              <w:rPr>
                                <w:rFonts w:eastAsia="Times New Roman" w:cstheme="minorHAnsi"/>
                                <w:b/>
                                <w:bCs/>
                                <w:color w:val="5B9BD5" w:themeColor="accent5"/>
                                <w:kern w:val="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p>
                          <w:p w14:paraId="5A26E843" w14:textId="0A26631D" w:rsidR="00214B1F" w:rsidRPr="00214B1F" w:rsidRDefault="00214B1F" w:rsidP="00214B1F">
                            <w:pPr>
                              <w:spacing w:before="100" w:beforeAutospacing="1" w:after="100" w:afterAutospacing="1" w:line="240" w:lineRule="auto"/>
                              <w:jc w:val="center"/>
                              <w:rPr>
                                <w:rFonts w:eastAsia="Times New Roman" w:cstheme="minorHAnsi"/>
                                <w:b/>
                                <w:bCs/>
                                <w:color w:val="5B9BD5" w:themeColor="accent5"/>
                                <w:kern w:val="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r w:rsidRPr="00214B1F">
                              <w:rPr>
                                <w:rFonts w:eastAsia="Times New Roman" w:cstheme="minorHAnsi"/>
                                <w:b/>
                                <w:bCs/>
                                <w:color w:val="5B9BD5" w:themeColor="accent5"/>
                                <w:kern w:val="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t>Memoria, crisis ética y urgencia de una praxis revolucionaria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9A179EB" id="_x0000_t202" coordsize="21600,21600" o:spt="202" path="m,l,21600r21600,l21600,xe">
                <v:stroke joinstyle="miter"/>
                <v:path gradientshapeok="t" o:connecttype="rect"/>
              </v:shapetype>
              <v:shape id="Cuadro de texto 1" o:spid="_x0000_s1026" type="#_x0000_t202" style="position:absolute;left:0;text-align:left;margin-left:0;margin-top:2.8pt;width:441.9pt;height:158.8pt;z-index:-25165721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" filled="f" stroked="f">
                <v:textbox style="mso-fit-shape-to-text:t">
                  <w:txbxContent>
                    <w:p w14:paraId="49838713" w14:textId="77777777" w:rsidR="00214B1F" w:rsidRDefault="00214B1F" w:rsidP="00214B1F">
                      <w:pPr>
                        <w:spacing w:before="100" w:beforeAutospacing="1" w:after="100" w:afterAutospacing="1" w:line="240" w:lineRule="auto"/>
                        <w:jc w:val="center"/>
                        <w:rPr>
                          <w:rFonts w:eastAsia="Times New Roman" w:cstheme="minorHAnsi"/>
                          <w:b/>
                          <w:bCs/>
                          <w:color w:val="5B9BD5" w:themeColor="accent5"/>
                          <w:kern w:val="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p>
                    <w:p w14:paraId="52AE775F" w14:textId="77777777" w:rsidR="00214B1F" w:rsidRDefault="00214B1F" w:rsidP="00214B1F">
                      <w:pPr>
                        <w:spacing w:before="100" w:beforeAutospacing="1" w:after="100" w:afterAutospacing="1" w:line="240" w:lineRule="auto"/>
                        <w:jc w:val="center"/>
                        <w:rPr>
                          <w:rFonts w:eastAsia="Times New Roman" w:cstheme="minorHAnsi"/>
                          <w:b/>
                          <w:bCs/>
                          <w:color w:val="5B9BD5" w:themeColor="accent5"/>
                          <w:kern w:val="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p>
                    <w:p w14:paraId="5A26E843" w14:textId="0A26631D" w:rsidR="00214B1F" w:rsidRPr="00214B1F" w:rsidRDefault="00214B1F" w:rsidP="00214B1F">
                      <w:pPr>
                        <w:spacing w:before="100" w:beforeAutospacing="1" w:after="100" w:afterAutospacing="1" w:line="240" w:lineRule="auto"/>
                        <w:jc w:val="center"/>
                        <w:rPr>
                          <w:rFonts w:eastAsia="Times New Roman" w:cstheme="minorHAnsi"/>
                          <w:b/>
                          <w:bCs/>
                          <w:color w:val="5B9BD5" w:themeColor="accent5"/>
                          <w:kern w:val="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r w:rsidRPr="00214B1F">
                        <w:rPr>
                          <w:rFonts w:eastAsia="Times New Roman" w:cstheme="minorHAnsi"/>
                          <w:b/>
                          <w:bCs/>
                          <w:color w:val="5B9BD5" w:themeColor="accent5"/>
                          <w:kern w:val="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t>Memoria, crisis ética y urgencia de una praxis revolucionaria</w:t>
                      </w:r>
                    </w:p>
                  </w:txbxContent>
                </v:textbox>
                <w10:wrap anchorx="margin"/>
              </v:shape>
            </w:pict>
          </mc:Fallback>
        </mc:AlternateContent>
      </w:r>
    </w:p>
    <w:p w14:paraId="12B27726"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65B310D5"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20EC3E3E"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3FC66EB5"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0D8CF5C7"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4C773C3E"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100BF599"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29E77F8A" w14:textId="77777777" w:rsidR="00E23A7C" w:rsidRDefault="00E23A7C" w:rsidP="003C2DE9">
      <w:pPr>
        <w:spacing w:before="100" w:beforeAutospacing="1" w:after="100" w:afterAutospacing="1" w:line="240" w:lineRule="auto"/>
        <w:jc w:val="both"/>
        <w:rPr>
          <w:rFonts w:eastAsia="Times New Roman" w:cstheme="minorHAnsi"/>
          <w:b/>
          <w:bCs/>
          <w:kern w:val="0"/>
          <w:lang w:eastAsia="es-CL"/>
          <w14:ligatures w14:val="none"/>
        </w:rPr>
      </w:pPr>
    </w:p>
    <w:p w14:paraId="7B9D8EED"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7F626A2B"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1567648A"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2AD6E5E5"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68DDD4B2"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1F907735"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3EB2B34A" w14:textId="6C927057" w:rsidR="00214B1F" w:rsidRDefault="00E23A7C" w:rsidP="003C2DE9">
      <w:pPr>
        <w:spacing w:before="100" w:beforeAutospacing="1" w:after="100" w:afterAutospacing="1" w:line="240" w:lineRule="auto"/>
        <w:jc w:val="both"/>
        <w:rPr>
          <w:rFonts w:eastAsia="Times New Roman" w:cstheme="minorHAnsi"/>
          <w:b/>
          <w:bCs/>
          <w:kern w:val="0"/>
          <w:lang w:eastAsia="es-CL"/>
          <w14:ligatures w14:val="none"/>
        </w:rPr>
      </w:pPr>
      <w:r>
        <w:rPr>
          <w:rFonts w:eastAsia="Times New Roman" w:cstheme="minorHAnsi"/>
          <w:b/>
          <w:bCs/>
          <w:kern w:val="0"/>
          <w:lang w:eastAsia="es-CL"/>
          <w14:ligatures w14:val="none"/>
        </w:rPr>
        <w:t xml:space="preserve">Integrantes: </w:t>
      </w:r>
    </w:p>
    <w:p w14:paraId="217F8491" w14:textId="63164814" w:rsidR="00E23A7C" w:rsidRPr="00FE2024" w:rsidRDefault="00E23A7C" w:rsidP="00E23A7C">
      <w:pPr>
        <w:pStyle w:val="Prrafodelista"/>
        <w:numPr>
          <w:ilvl w:val="0"/>
          <w:numId w:val="1"/>
        </w:numPr>
        <w:spacing w:before="100" w:beforeAutospacing="1" w:after="100" w:afterAutospacing="1" w:line="240" w:lineRule="auto"/>
        <w:jc w:val="both"/>
        <w:rPr>
          <w:rFonts w:eastAsia="Times New Roman" w:cstheme="minorHAnsi"/>
          <w:kern w:val="0"/>
          <w:lang w:eastAsia="es-CL"/>
          <w14:ligatures w14:val="none"/>
        </w:rPr>
      </w:pPr>
      <w:r w:rsidRPr="00FE2024">
        <w:rPr>
          <w:rFonts w:eastAsia="Times New Roman" w:cstheme="minorHAnsi"/>
          <w:kern w:val="0"/>
          <w:lang w:eastAsia="es-CL"/>
          <w14:ligatures w14:val="none"/>
        </w:rPr>
        <w:t xml:space="preserve">Francisco Rodriguez Sandoval </w:t>
      </w:r>
    </w:p>
    <w:p w14:paraId="472CDB3D" w14:textId="61B395F5" w:rsidR="00E23A7C" w:rsidRDefault="00E23A7C" w:rsidP="00E23A7C">
      <w:pPr>
        <w:spacing w:before="100" w:beforeAutospacing="1" w:after="100" w:afterAutospacing="1" w:line="240" w:lineRule="auto"/>
        <w:jc w:val="both"/>
        <w:rPr>
          <w:rFonts w:eastAsia="Times New Roman" w:cstheme="minorHAnsi"/>
          <w:b/>
          <w:bCs/>
          <w:kern w:val="0"/>
          <w:lang w:eastAsia="es-CL"/>
          <w14:ligatures w14:val="none"/>
        </w:rPr>
      </w:pPr>
      <w:r>
        <w:rPr>
          <w:rFonts w:eastAsia="Times New Roman" w:cstheme="minorHAnsi"/>
          <w:b/>
          <w:bCs/>
          <w:kern w:val="0"/>
          <w:lang w:eastAsia="es-CL"/>
          <w14:ligatures w14:val="none"/>
        </w:rPr>
        <w:t xml:space="preserve">Catedra: </w:t>
      </w:r>
      <w:r w:rsidR="00771DB2" w:rsidRPr="00FE2024">
        <w:rPr>
          <w:rFonts w:eastAsia="Times New Roman" w:cstheme="minorHAnsi"/>
          <w:kern w:val="0"/>
          <w:lang w:eastAsia="es-CL"/>
          <w14:ligatures w14:val="none"/>
        </w:rPr>
        <w:t xml:space="preserve">Perspectivas </w:t>
      </w:r>
      <w:r w:rsidR="00FE2024" w:rsidRPr="00FE2024">
        <w:rPr>
          <w:rFonts w:eastAsia="Times New Roman" w:cstheme="minorHAnsi"/>
          <w:kern w:val="0"/>
          <w:lang w:eastAsia="es-CL"/>
          <w14:ligatures w14:val="none"/>
        </w:rPr>
        <w:t>sociopolítica</w:t>
      </w:r>
      <w:r w:rsidR="00771DB2" w:rsidRPr="00FE2024">
        <w:rPr>
          <w:rFonts w:eastAsia="Times New Roman" w:cstheme="minorHAnsi"/>
          <w:kern w:val="0"/>
          <w:lang w:eastAsia="es-CL"/>
          <w14:ligatures w14:val="none"/>
        </w:rPr>
        <w:t xml:space="preserve"> del Trabajador Social</w:t>
      </w:r>
      <w:r w:rsidR="00771DB2">
        <w:rPr>
          <w:rFonts w:eastAsia="Times New Roman" w:cstheme="minorHAnsi"/>
          <w:b/>
          <w:bCs/>
          <w:kern w:val="0"/>
          <w:lang w:eastAsia="es-CL"/>
          <w14:ligatures w14:val="none"/>
        </w:rPr>
        <w:t xml:space="preserve"> </w:t>
      </w:r>
    </w:p>
    <w:p w14:paraId="4B4F6290" w14:textId="3FA89769" w:rsidR="00214B1F" w:rsidRDefault="00E23A7C" w:rsidP="003C2DE9">
      <w:pPr>
        <w:spacing w:before="100" w:beforeAutospacing="1" w:after="100" w:afterAutospacing="1" w:line="240" w:lineRule="auto"/>
        <w:jc w:val="both"/>
        <w:rPr>
          <w:rFonts w:eastAsia="Times New Roman" w:cstheme="minorHAnsi"/>
          <w:b/>
          <w:bCs/>
          <w:kern w:val="0"/>
          <w:lang w:eastAsia="es-CL"/>
          <w14:ligatures w14:val="none"/>
        </w:rPr>
      </w:pPr>
      <w:r>
        <w:rPr>
          <w:rFonts w:eastAsia="Times New Roman" w:cstheme="minorHAnsi"/>
          <w:b/>
          <w:bCs/>
          <w:kern w:val="0"/>
          <w:lang w:eastAsia="es-CL"/>
          <w14:ligatures w14:val="none"/>
        </w:rPr>
        <w:t xml:space="preserve">Docente: </w:t>
      </w:r>
      <w:r w:rsidR="00FE2024">
        <w:rPr>
          <w:rFonts w:eastAsia="Times New Roman" w:cstheme="minorHAnsi"/>
          <w:b/>
          <w:bCs/>
          <w:kern w:val="0"/>
          <w:lang w:eastAsia="es-CL"/>
          <w14:ligatures w14:val="none"/>
        </w:rPr>
        <w:t xml:space="preserve"> </w:t>
      </w:r>
      <w:r w:rsidR="00FE2024" w:rsidRPr="00FE2024">
        <w:rPr>
          <w:rFonts w:eastAsia="Times New Roman" w:cstheme="minorHAnsi"/>
          <w:kern w:val="0"/>
          <w:lang w:eastAsia="es-CL"/>
          <w14:ligatures w14:val="none"/>
        </w:rPr>
        <w:t>Karla Lara</w:t>
      </w:r>
      <w:r w:rsidR="00FE2024">
        <w:rPr>
          <w:rFonts w:eastAsia="Times New Roman" w:cstheme="minorHAnsi"/>
          <w:b/>
          <w:bCs/>
          <w:kern w:val="0"/>
          <w:lang w:eastAsia="es-CL"/>
          <w14:ligatures w14:val="none"/>
        </w:rPr>
        <w:t xml:space="preserve"> </w:t>
      </w:r>
    </w:p>
    <w:p w14:paraId="04B40C95" w14:textId="77777777" w:rsidR="00652D9C" w:rsidRDefault="00652D9C" w:rsidP="003C2DE9">
      <w:pPr>
        <w:spacing w:before="100" w:beforeAutospacing="1" w:after="100" w:afterAutospacing="1" w:line="240" w:lineRule="auto"/>
        <w:jc w:val="both"/>
        <w:rPr>
          <w:rFonts w:eastAsia="Times New Roman" w:cstheme="minorHAnsi"/>
          <w:b/>
          <w:bCs/>
          <w:kern w:val="0"/>
          <w:lang w:eastAsia="es-CL"/>
          <w14:ligatures w14:val="none"/>
        </w:rPr>
      </w:pPr>
    </w:p>
    <w:p w14:paraId="3E7CA7D3" w14:textId="77777777" w:rsidR="00652D9C" w:rsidRDefault="00652D9C" w:rsidP="003C2DE9">
      <w:pPr>
        <w:spacing w:before="100" w:beforeAutospacing="1" w:after="100" w:afterAutospacing="1" w:line="240" w:lineRule="auto"/>
        <w:jc w:val="both"/>
        <w:rPr>
          <w:rFonts w:eastAsia="Times New Roman" w:cstheme="minorHAnsi"/>
          <w:b/>
          <w:bCs/>
          <w:kern w:val="0"/>
          <w:lang w:eastAsia="es-CL"/>
          <w14:ligatures w14:val="none"/>
        </w:rPr>
      </w:pPr>
    </w:p>
    <w:p w14:paraId="67AC1807" w14:textId="0A537358" w:rsidR="003C2DE9" w:rsidRPr="003C2DE9" w:rsidRDefault="003C2DE9" w:rsidP="003C2DE9">
      <w:pPr>
        <w:spacing w:before="100" w:beforeAutospacing="1" w:after="100" w:afterAutospacing="1" w:line="240" w:lineRule="auto"/>
        <w:jc w:val="both"/>
        <w:rPr>
          <w:rFonts w:eastAsia="Times New Roman" w:cstheme="minorHAnsi"/>
          <w:kern w:val="0"/>
          <w:lang w:eastAsia="es-CL"/>
          <w14:ligatures w14:val="none"/>
        </w:rPr>
      </w:pPr>
      <w:r w:rsidRPr="003C2DE9">
        <w:rPr>
          <w:rFonts w:eastAsia="Times New Roman" w:cstheme="minorHAnsi"/>
          <w:b/>
          <w:bCs/>
          <w:kern w:val="0"/>
          <w:lang w:eastAsia="es-CL"/>
          <w14:ligatures w14:val="none"/>
        </w:rPr>
        <w:t>Introducción</w:t>
      </w:r>
    </w:p>
    <w:p w14:paraId="0C95074D" w14:textId="77777777" w:rsidR="00620AE5" w:rsidRDefault="00620AE5" w:rsidP="003C2DE9">
      <w:pPr>
        <w:spacing w:before="100" w:beforeAutospacing="1" w:after="100" w:afterAutospacing="1" w:line="240" w:lineRule="auto"/>
        <w:jc w:val="both"/>
        <w:rPr>
          <w:rFonts w:eastAsia="Times New Roman" w:cstheme="minorHAnsi"/>
          <w:kern w:val="0"/>
          <w:lang w:eastAsia="es-CL"/>
          <w14:ligatures w14:val="none"/>
        </w:rPr>
      </w:pPr>
      <w:r w:rsidRPr="00620AE5">
        <w:rPr>
          <w:rFonts w:eastAsia="Times New Roman" w:cstheme="minorHAnsi"/>
          <w:kern w:val="0"/>
          <w:lang w:eastAsia="es-CL"/>
          <w14:ligatures w14:val="none"/>
        </w:rPr>
        <w:t xml:space="preserve">A cien años de que se institucionalizara el Trabajo Social en Chile, la profesión se encuentra en un punto crucial tanto éticamente como políticamente. Más allá de su resurgimiento como disciplina académica y su expansión en diversos ámbitos del trabajo social, el Trabajo Social hoy enfrenta tensiones profundas, tanto internas como externas. Su historia, marcada por la oscilación entre el asistencialismo y una práctica crítica, revela un camino lleno de dilemas y decisiones éticas. </w:t>
      </w:r>
    </w:p>
    <w:p w14:paraId="5022A952" w14:textId="4C45CE84" w:rsidR="003C2DE9" w:rsidRPr="003C2DE9" w:rsidRDefault="00620AE5" w:rsidP="003C2DE9">
      <w:pPr>
        <w:spacing w:before="100" w:beforeAutospacing="1" w:after="100" w:afterAutospacing="1" w:line="240" w:lineRule="auto"/>
        <w:jc w:val="both"/>
        <w:rPr>
          <w:rFonts w:eastAsia="Times New Roman" w:cstheme="minorHAnsi"/>
          <w:kern w:val="0"/>
          <w:lang w:eastAsia="es-CL"/>
          <w14:ligatures w14:val="none"/>
        </w:rPr>
      </w:pPr>
      <w:r w:rsidRPr="00620AE5">
        <w:rPr>
          <w:rFonts w:eastAsia="Times New Roman" w:cstheme="minorHAnsi"/>
          <w:kern w:val="0"/>
          <w:lang w:eastAsia="es-CL"/>
          <w14:ligatures w14:val="none"/>
        </w:rPr>
        <w:t>Este ensayo busca ofrecer una perspectiva crítica y reflexiva, apoyándose en las ideas de Adela Cortina sobre la ética ciudadana y la moral pública, así como en las nociones de vocación, memoria y virtud profesional. Mi objetivo es visibilizar los desafíos actuales que enfrenta el Trabajo Social y proyectar horizontes para una práctica transformadora y comprometida con la justicia social.</w:t>
      </w:r>
    </w:p>
    <w:p w14:paraId="5CC69464" w14:textId="77777777" w:rsidR="003C2DE9" w:rsidRPr="003C2DE9" w:rsidRDefault="003C2DE9" w:rsidP="003C2DE9">
      <w:pPr>
        <w:spacing w:before="100" w:beforeAutospacing="1" w:after="100" w:afterAutospacing="1" w:line="240" w:lineRule="auto"/>
        <w:jc w:val="both"/>
        <w:rPr>
          <w:rFonts w:eastAsia="Times New Roman" w:cstheme="minorHAnsi"/>
          <w:kern w:val="0"/>
          <w:lang w:eastAsia="es-CL"/>
          <w14:ligatures w14:val="none"/>
        </w:rPr>
      </w:pPr>
      <w:r w:rsidRPr="003C2DE9">
        <w:rPr>
          <w:rFonts w:eastAsia="Times New Roman" w:cstheme="minorHAnsi"/>
          <w:b/>
          <w:bCs/>
          <w:kern w:val="0"/>
          <w:lang w:eastAsia="es-CL"/>
          <w14:ligatures w14:val="none"/>
        </w:rPr>
        <w:t>Historia, memoria y olvido en el Trabajo Social chileno</w:t>
      </w:r>
    </w:p>
    <w:p w14:paraId="53BF1EF8" w14:textId="4F33125F" w:rsidR="0016220A" w:rsidRPr="0016220A" w:rsidRDefault="0016220A" w:rsidP="0016220A">
      <w:pPr>
        <w:spacing w:before="100" w:beforeAutospacing="1" w:after="100" w:afterAutospacing="1" w:line="240" w:lineRule="auto"/>
        <w:jc w:val="both"/>
        <w:rPr>
          <w:rFonts w:eastAsia="Times New Roman" w:cstheme="minorHAnsi"/>
          <w:kern w:val="0"/>
          <w:lang w:eastAsia="es-CL"/>
          <w14:ligatures w14:val="none"/>
        </w:rPr>
      </w:pPr>
      <w:r w:rsidRPr="0016220A">
        <w:rPr>
          <w:rFonts w:eastAsia="Times New Roman" w:cstheme="minorHAnsi"/>
          <w:kern w:val="0"/>
          <w:lang w:eastAsia="es-CL"/>
          <w14:ligatures w14:val="none"/>
        </w:rPr>
        <w:t>El surgimiento del Trabajo Social en Chile durante la década de 1920 estuvo marcado por una fuerte ética del deber, influenciada por la filantropía y la moral religiosa. En este contexto, la intervención se justificaba como una forma de “corregir” las desviaciones sociales. Sin embargo, como nos muestra la historia, este enfoque no fue ni neutral ni inocente. En él se implementaron mecanismos de control social, alineados con lo que Adela Cortina (1997) describe como una moral excluyente, que “convierte al otro en objeto de compasión, pero no en sujeto de derechos” (p. 84).</w:t>
      </w:r>
    </w:p>
    <w:p w14:paraId="27FEE519" w14:textId="2B73AADD" w:rsidR="0016220A" w:rsidRPr="0016220A" w:rsidRDefault="0016220A" w:rsidP="0016220A">
      <w:pPr>
        <w:spacing w:before="100" w:beforeAutospacing="1" w:after="100" w:afterAutospacing="1" w:line="240" w:lineRule="auto"/>
        <w:jc w:val="both"/>
        <w:rPr>
          <w:rFonts w:eastAsia="Times New Roman" w:cstheme="minorHAnsi"/>
          <w:kern w:val="0"/>
          <w:lang w:eastAsia="es-CL"/>
          <w14:ligatures w14:val="none"/>
        </w:rPr>
      </w:pPr>
      <w:r w:rsidRPr="0016220A">
        <w:rPr>
          <w:rFonts w:eastAsia="Times New Roman" w:cstheme="minorHAnsi"/>
          <w:kern w:val="0"/>
          <w:lang w:eastAsia="es-CL"/>
          <w14:ligatures w14:val="none"/>
        </w:rPr>
        <w:t>A pesar de esto, las décadas de 1960 y 1970 trajeron consigo una apertura hacia una ética más comprometida y política. Influenciados por las teorías críticas latinoamericanas, el Trabajo Social comenzó a adoptar una perspectiva estructural sobre las problemáticas sociales. Esta transformación no solo implicó un cambio en los métodos, sino también una redefinición del carácter moral de la profesión, asumiendo un compromiso político crítico y un papel activo en la lucha por los derechos de los sectores excluidos.</w:t>
      </w:r>
    </w:p>
    <w:p w14:paraId="255775C4" w14:textId="77777777" w:rsidR="0016220A" w:rsidRDefault="0016220A" w:rsidP="0016220A">
      <w:pPr>
        <w:spacing w:before="100" w:beforeAutospacing="1" w:after="100" w:afterAutospacing="1" w:line="240" w:lineRule="auto"/>
        <w:jc w:val="both"/>
        <w:rPr>
          <w:rFonts w:eastAsia="Times New Roman" w:cstheme="minorHAnsi"/>
          <w:kern w:val="0"/>
          <w:lang w:eastAsia="es-CL"/>
          <w14:ligatures w14:val="none"/>
        </w:rPr>
      </w:pPr>
      <w:r w:rsidRPr="0016220A">
        <w:rPr>
          <w:rFonts w:eastAsia="Times New Roman" w:cstheme="minorHAnsi"/>
          <w:kern w:val="0"/>
          <w:lang w:eastAsia="es-CL"/>
          <w14:ligatures w14:val="none"/>
        </w:rPr>
        <w:t>La dictadura cívico-militar interrumpió este proceso y dejó una huella profunda en la memoria colectiva de la profesión, debido a las violaciones a los derechos humanos. El exilio institucional de aquellos profesionales que resistieron desde lo comunitario y lo clandestino sigue generando tensiones en la construcción de la identidad profesional actual. Recuperar esa memoria se convierte en un acto revolucionario: es reconocer que la verdadera virtud profesional también se forja en tiempos de adversidad, donde la lealtad a los principios éticos se pone a prueba en la resistencia.</w:t>
      </w:r>
    </w:p>
    <w:p w14:paraId="4CA6B625" w14:textId="0F6EB662" w:rsidR="003C2DE9" w:rsidRPr="003C2DE9" w:rsidRDefault="003C2DE9" w:rsidP="0016220A">
      <w:pPr>
        <w:spacing w:before="100" w:beforeAutospacing="1" w:after="100" w:afterAutospacing="1" w:line="240" w:lineRule="auto"/>
        <w:jc w:val="both"/>
        <w:rPr>
          <w:rFonts w:eastAsia="Times New Roman" w:cstheme="minorHAnsi"/>
          <w:kern w:val="0"/>
          <w:lang w:eastAsia="es-CL"/>
          <w14:ligatures w14:val="none"/>
        </w:rPr>
      </w:pPr>
      <w:r w:rsidRPr="003C2DE9">
        <w:rPr>
          <w:rFonts w:eastAsia="Times New Roman" w:cstheme="minorHAnsi"/>
          <w:b/>
          <w:bCs/>
          <w:kern w:val="0"/>
          <w:lang w:eastAsia="es-CL"/>
          <w14:ligatures w14:val="none"/>
        </w:rPr>
        <w:t xml:space="preserve">Ética, vocación y virtud frente a la </w:t>
      </w:r>
      <w:r w:rsidR="00FD301C">
        <w:rPr>
          <w:rFonts w:eastAsia="Times New Roman" w:cstheme="minorHAnsi"/>
          <w:b/>
          <w:bCs/>
          <w:kern w:val="0"/>
          <w:lang w:eastAsia="es-CL"/>
          <w14:ligatures w14:val="none"/>
        </w:rPr>
        <w:t xml:space="preserve">excesiva bucratizacion </w:t>
      </w:r>
    </w:p>
    <w:p w14:paraId="0CD3732B" w14:textId="77777777" w:rsidR="00652D9C" w:rsidRPr="00652D9C" w:rsidRDefault="00652D9C" w:rsidP="00652D9C">
      <w:pPr>
        <w:spacing w:before="100" w:beforeAutospacing="1" w:after="100" w:afterAutospacing="1" w:line="240" w:lineRule="auto"/>
        <w:jc w:val="both"/>
        <w:rPr>
          <w:rFonts w:eastAsia="Times New Roman" w:cstheme="minorHAnsi"/>
          <w:kern w:val="0"/>
          <w:lang w:eastAsia="es-CL"/>
          <w14:ligatures w14:val="none"/>
        </w:rPr>
      </w:pPr>
      <w:r w:rsidRPr="00652D9C">
        <w:rPr>
          <w:rFonts w:eastAsia="Times New Roman" w:cstheme="minorHAnsi"/>
          <w:kern w:val="0"/>
          <w:lang w:eastAsia="es-CL"/>
          <w14:ligatures w14:val="none"/>
        </w:rPr>
        <w:t>Según Cortina (1997), la ética pública no debería limitarse a normas técnicas; más bien, debería arraigarse en cualidades cívicas como la equidad, la obligación y la unidad. Esta idea se vuelve crucial ante la creciente tecnificación del Trabajo Social hoy en día, que amenaza con despojar de contenido moral la labor profesional, dejándola en la simple aplicación de procesos y esquemas.</w:t>
      </w:r>
    </w:p>
    <w:p w14:paraId="26F5E834" w14:textId="77777777" w:rsidR="00652D9C" w:rsidRPr="00652D9C" w:rsidRDefault="00652D9C" w:rsidP="00652D9C">
      <w:pPr>
        <w:spacing w:before="100" w:beforeAutospacing="1" w:after="100" w:afterAutospacing="1" w:line="240" w:lineRule="auto"/>
        <w:jc w:val="both"/>
        <w:rPr>
          <w:rFonts w:eastAsia="Times New Roman" w:cstheme="minorHAnsi"/>
          <w:kern w:val="0"/>
          <w:lang w:eastAsia="es-CL"/>
          <w14:ligatures w14:val="none"/>
        </w:rPr>
      </w:pPr>
      <w:r w:rsidRPr="00652D9C">
        <w:rPr>
          <w:rFonts w:eastAsia="Times New Roman" w:cstheme="minorHAnsi"/>
          <w:kern w:val="0"/>
          <w:lang w:eastAsia="es-CL"/>
          <w14:ligatures w14:val="none"/>
        </w:rPr>
        <w:t xml:space="preserve">El Trabajo Social, al dejar de lado su propósito de cambio, se expone a una clase de desviación profesional: no tanto en lo legal, sino más bien la desviación ética que supone desvirtuar la esencia moral de la tarea. La virtud, comprendida como la costumbre de hacer el bien, requiere actuar desde </w:t>
      </w:r>
      <w:r w:rsidRPr="00652D9C">
        <w:rPr>
          <w:rFonts w:eastAsia="Times New Roman" w:cstheme="minorHAnsi"/>
          <w:kern w:val="0"/>
          <w:lang w:eastAsia="es-CL"/>
          <w14:ligatures w14:val="none"/>
        </w:rPr>
        <w:lastRenderedPageBreak/>
        <w:t>una mente crítica y consciente del contexto, sobre todo donde el sufrimiento social se vuelve algo común.</w:t>
      </w:r>
    </w:p>
    <w:p w14:paraId="4E12D8A2" w14:textId="6B487682" w:rsidR="003C2DE9" w:rsidRPr="003C2DE9" w:rsidRDefault="00652D9C" w:rsidP="00652D9C">
      <w:pPr>
        <w:spacing w:before="100" w:beforeAutospacing="1" w:after="100" w:afterAutospacing="1" w:line="240" w:lineRule="auto"/>
        <w:jc w:val="both"/>
        <w:rPr>
          <w:rFonts w:eastAsia="Times New Roman" w:cstheme="minorHAnsi"/>
          <w:kern w:val="0"/>
          <w:lang w:eastAsia="es-CL"/>
          <w14:ligatures w14:val="none"/>
        </w:rPr>
      </w:pPr>
      <w:r w:rsidRPr="00652D9C">
        <w:rPr>
          <w:rFonts w:eastAsia="Times New Roman" w:cstheme="minorHAnsi"/>
          <w:kern w:val="0"/>
          <w:lang w:eastAsia="es-CL"/>
          <w14:ligatures w14:val="none"/>
        </w:rPr>
        <w:t>Ante esto, se hace indispensable realzar la vocación como un llamado a una responsabilidad ética. Esto implica no solo "hacer bien el trabajo", sino cuestionarse sin cesar el propósito de la labor, a favor de quién se realiza y contra qué injusticias se lucha. La neutralidad, como lo demostró el estallido social de 2019, es simplemente una complicidad callada, complicidad que no concuerda con ningún principio que impulsa el trabajo social</w:t>
      </w:r>
      <w:r w:rsidR="00617947">
        <w:rPr>
          <w:rFonts w:eastAsia="Times New Roman" w:cstheme="minorHAnsi"/>
          <w:kern w:val="0"/>
          <w:lang w:eastAsia="es-CL"/>
          <w14:ligatures w14:val="none"/>
        </w:rPr>
        <w:t xml:space="preserve">. </w:t>
      </w:r>
    </w:p>
    <w:p w14:paraId="440D9F82" w14:textId="13A0B350" w:rsidR="003C2DE9" w:rsidRPr="003C2DE9" w:rsidRDefault="003C2DE9" w:rsidP="003C2DE9">
      <w:pPr>
        <w:spacing w:before="100" w:beforeAutospacing="1" w:after="100" w:afterAutospacing="1" w:line="240" w:lineRule="auto"/>
        <w:jc w:val="both"/>
        <w:rPr>
          <w:rFonts w:eastAsia="Times New Roman" w:cstheme="minorHAnsi"/>
          <w:kern w:val="0"/>
          <w:lang w:eastAsia="es-CL"/>
          <w14:ligatures w14:val="none"/>
        </w:rPr>
      </w:pPr>
      <w:r w:rsidRPr="003C2DE9">
        <w:rPr>
          <w:rFonts w:eastAsia="Times New Roman" w:cstheme="minorHAnsi"/>
          <w:b/>
          <w:bCs/>
          <w:kern w:val="0"/>
          <w:lang w:eastAsia="es-CL"/>
          <w14:ligatures w14:val="none"/>
        </w:rPr>
        <w:t>crisis ética e inoperancia</w:t>
      </w:r>
    </w:p>
    <w:p w14:paraId="15940447" w14:textId="77777777" w:rsidR="00D6184E" w:rsidRDefault="00D6184E" w:rsidP="00D6184E">
      <w:pPr>
        <w:spacing w:before="100" w:beforeAutospacing="1" w:after="100" w:afterAutospacing="1" w:line="240" w:lineRule="auto"/>
        <w:jc w:val="both"/>
        <w:rPr>
          <w:rFonts w:eastAsia="Times New Roman" w:cstheme="minorHAnsi"/>
          <w:kern w:val="0"/>
          <w:lang w:eastAsia="es-CL"/>
          <w14:ligatures w14:val="none"/>
        </w:rPr>
      </w:pPr>
      <w:r w:rsidRPr="00D6184E">
        <w:rPr>
          <w:rFonts w:eastAsia="Times New Roman" w:cstheme="minorHAnsi"/>
          <w:kern w:val="0"/>
          <w:lang w:eastAsia="es-CL"/>
          <w14:ligatures w14:val="none"/>
        </w:rPr>
        <w:t xml:space="preserve">En este panorama, es crucial examinar con ojo crítico el papel que juega hoy el Colegio de Trabajadores Sociales de Chile. Si bien es la principal entidad gremial representando a nuestra labor, su gestión se ha visto opacada por una falta de acción y lejanía con los profesionales de base. En vez de tomar una postura firme y proactiva ante la precariedad laboral, el debilitamiento del peso político del Trabajo Social y la ética en la práctica, el Colegio ha preferido, con frecuencia, una actitud apática, burocrática y con poca influencia en la agenda pública, lo que ha perjudicado el desempeño profesional. </w:t>
      </w:r>
    </w:p>
    <w:p w14:paraId="774CB508" w14:textId="3C7D582E" w:rsidR="00D6184E" w:rsidRPr="00D6184E" w:rsidRDefault="00D6184E" w:rsidP="00D6184E">
      <w:pPr>
        <w:spacing w:before="100" w:beforeAutospacing="1" w:after="100" w:afterAutospacing="1" w:line="240" w:lineRule="auto"/>
        <w:jc w:val="both"/>
        <w:rPr>
          <w:rFonts w:eastAsia="Times New Roman" w:cstheme="minorHAnsi"/>
          <w:kern w:val="0"/>
          <w:lang w:eastAsia="es-CL"/>
          <w14:ligatures w14:val="none"/>
        </w:rPr>
      </w:pPr>
      <w:r w:rsidRPr="00D6184E">
        <w:rPr>
          <w:rFonts w:eastAsia="Times New Roman" w:cstheme="minorHAnsi"/>
          <w:kern w:val="0"/>
          <w:lang w:eastAsia="es-CL"/>
          <w14:ligatures w14:val="none"/>
        </w:rPr>
        <w:t xml:space="preserve">La ausencia de un liderazgo ético en esta institución constituye una seria negligencia en su obligación de proteger el sentido ético-político de nuestra profesión. En muchos casos, ha permanecido en silencio ante situaciones de injusticia social o condiciones laborales indignas, lo que contraviene directamente los principios de responsabilidad y justicia que Cortina (1997) señala como pilares de una ética ciudadana. </w:t>
      </w:r>
    </w:p>
    <w:p w14:paraId="54C9E63F" w14:textId="77777777" w:rsidR="00D6184E" w:rsidRPr="00D6184E" w:rsidRDefault="00D6184E" w:rsidP="00D6184E">
      <w:pPr>
        <w:spacing w:before="100" w:beforeAutospacing="1" w:after="100" w:afterAutospacing="1" w:line="240" w:lineRule="auto"/>
        <w:jc w:val="both"/>
        <w:rPr>
          <w:rFonts w:eastAsia="Times New Roman" w:cstheme="minorHAnsi"/>
          <w:kern w:val="0"/>
          <w:lang w:eastAsia="es-CL"/>
          <w14:ligatures w14:val="none"/>
        </w:rPr>
      </w:pPr>
      <w:r w:rsidRPr="00D6184E">
        <w:rPr>
          <w:rFonts w:eastAsia="Times New Roman" w:cstheme="minorHAnsi"/>
          <w:kern w:val="0"/>
          <w:lang w:eastAsia="es-CL"/>
          <w14:ligatures w14:val="none"/>
        </w:rPr>
        <w:t xml:space="preserve">Esta ineficacia no solo debilita la unidad profesional, sino que también normaliza y afianza la despolitización de la práctica social. El abandono de declaraciones públicas contundentes, la defensa de condiciones laborales decentes y propuestas que vayan más allá de la mera autorregulación profesional (una visión burguesa), dibuja un escenario de corrupción simbólica: se mantiene la forma del gremio, pero se le despoja de contenido ético-político. </w:t>
      </w:r>
    </w:p>
    <w:p w14:paraId="7DA51CD3" w14:textId="77777777" w:rsidR="00D6184E" w:rsidRPr="00D6184E" w:rsidRDefault="00D6184E" w:rsidP="00D6184E">
      <w:pPr>
        <w:spacing w:before="100" w:beforeAutospacing="1" w:after="100" w:afterAutospacing="1" w:line="240" w:lineRule="auto"/>
        <w:jc w:val="both"/>
        <w:rPr>
          <w:rFonts w:eastAsia="Times New Roman" w:cstheme="minorHAnsi"/>
          <w:kern w:val="0"/>
          <w:lang w:eastAsia="es-CL"/>
          <w14:ligatures w14:val="none"/>
        </w:rPr>
      </w:pPr>
      <w:r w:rsidRPr="00D6184E">
        <w:rPr>
          <w:rFonts w:eastAsia="Times New Roman" w:cstheme="minorHAnsi"/>
          <w:kern w:val="0"/>
          <w:lang w:eastAsia="es-CL"/>
          <w14:ligatures w14:val="none"/>
        </w:rPr>
        <w:t xml:space="preserve">Reconstruir el Colegio es urgente. Esta institución debería ser un espacio para el debate crítico, la protección ética y la unión colectiva de todos los colegas. Su estado actual refleja una profesión que ha sido llevada hacia la división, el individualismo y la desmovilización política. Para superar esta crisis, se requiere una renovación desde sus cimientos, donde el Colegio rescate su propósito histórico y se convierta en un motor ético y político de la profesión, apostando por dejar atrás una visión neoliberal que resulta incompatible con el quehacer profesional intrínseco. </w:t>
      </w:r>
    </w:p>
    <w:p w14:paraId="0848DAC7" w14:textId="77777777" w:rsidR="00D6184E" w:rsidRPr="00D6184E" w:rsidRDefault="00D6184E" w:rsidP="00D6184E">
      <w:pPr>
        <w:spacing w:before="100" w:beforeAutospacing="1" w:after="100" w:afterAutospacing="1" w:line="240" w:lineRule="auto"/>
        <w:jc w:val="both"/>
        <w:rPr>
          <w:rFonts w:eastAsia="Times New Roman" w:cstheme="minorHAnsi"/>
          <w:kern w:val="0"/>
          <w:lang w:eastAsia="es-CL"/>
          <w14:ligatures w14:val="none"/>
        </w:rPr>
      </w:pPr>
      <w:r w:rsidRPr="00D6184E">
        <w:rPr>
          <w:rFonts w:eastAsia="Times New Roman" w:cstheme="minorHAnsi"/>
          <w:kern w:val="0"/>
          <w:lang w:eastAsia="es-CL"/>
          <w14:ligatures w14:val="none"/>
        </w:rPr>
        <w:t xml:space="preserve">Desde la perspectiva de Cortina (1997), una ética ciudadana se forja a partir del reconocimiento del otro como sujeto de derecho, capaz de debatir y exigir justicia. En este sentido, el Trabajo Social debe reconstruir su rol escuchando atentamente los procesos populares, dejando atrás la lógica asistencial y paternalista que históricamente ha marcado su actuación. </w:t>
      </w:r>
    </w:p>
    <w:p w14:paraId="3982B21C" w14:textId="77777777" w:rsidR="00D6184E" w:rsidRPr="00D6184E" w:rsidRDefault="00D6184E" w:rsidP="00D6184E">
      <w:pPr>
        <w:spacing w:before="100" w:beforeAutospacing="1" w:after="100" w:afterAutospacing="1" w:line="240" w:lineRule="auto"/>
        <w:jc w:val="both"/>
        <w:rPr>
          <w:rFonts w:eastAsia="Times New Roman" w:cstheme="minorHAnsi"/>
          <w:kern w:val="0"/>
          <w:lang w:eastAsia="es-CL"/>
          <w14:ligatures w14:val="none"/>
        </w:rPr>
      </w:pPr>
      <w:r w:rsidRPr="00D6184E">
        <w:rPr>
          <w:rFonts w:eastAsia="Times New Roman" w:cstheme="minorHAnsi"/>
          <w:kern w:val="0"/>
          <w:lang w:eastAsia="es-CL"/>
          <w14:ligatures w14:val="none"/>
        </w:rPr>
        <w:t xml:space="preserve">Un reto principal es el cuidado de quienes ejercen nuestra profesión. La precariedad laboral, más allá de ser una simple condición material, afecta directamente la posibilidad de mantener una ética basada en la virtud. No se puede demandar compromiso y excelencia ética a quienes luchan por sobrevivir con contratos inestables, sobrecarga emocional y falta de apoyo institucional y gremial. </w:t>
      </w:r>
    </w:p>
    <w:p w14:paraId="4988229F" w14:textId="77777777" w:rsidR="00D6184E" w:rsidRDefault="00D6184E" w:rsidP="00D6184E">
      <w:pPr>
        <w:spacing w:before="100" w:beforeAutospacing="1" w:after="100" w:afterAutospacing="1" w:line="240" w:lineRule="auto"/>
        <w:jc w:val="both"/>
        <w:rPr>
          <w:rFonts w:eastAsia="Times New Roman" w:cstheme="minorHAnsi"/>
          <w:kern w:val="0"/>
          <w:lang w:eastAsia="es-CL"/>
          <w14:ligatures w14:val="none"/>
        </w:rPr>
      </w:pPr>
      <w:r w:rsidRPr="00D6184E">
        <w:rPr>
          <w:rFonts w:eastAsia="Times New Roman" w:cstheme="minorHAnsi"/>
          <w:kern w:val="0"/>
          <w:lang w:eastAsia="es-CL"/>
          <w14:ligatures w14:val="none"/>
        </w:rPr>
        <w:lastRenderedPageBreak/>
        <w:t>Igualmente, batallar para no olvidar tiene que ser una tarea continua en nuestro día a día. Traer a la memoria a los que plantaron cara, a los que protegieron durante el horror, a los que se jugaron el todo por el todo con su compromiso político en tiempos donde eso valía la vida, conforma esa herencia moral que el Trabajo Social debe abrazar siempre. Ya que, como Cortina apunta acertadamente, si olvidamos, la justicia se diluye, y sin justicia, la ciudadanía ética se vuelve inalcanzable.</w:t>
      </w:r>
    </w:p>
    <w:p w14:paraId="37EA8A3D" w14:textId="6EBFA775" w:rsidR="003C2DE9" w:rsidRPr="003C2DE9" w:rsidRDefault="003C2DE9" w:rsidP="00D6184E">
      <w:pPr>
        <w:spacing w:before="100" w:beforeAutospacing="1" w:after="100" w:afterAutospacing="1" w:line="240" w:lineRule="auto"/>
        <w:jc w:val="both"/>
        <w:rPr>
          <w:rFonts w:eastAsia="Times New Roman" w:cstheme="minorHAnsi"/>
          <w:kern w:val="0"/>
          <w:lang w:eastAsia="es-CL"/>
          <w14:ligatures w14:val="none"/>
        </w:rPr>
      </w:pPr>
      <w:r w:rsidRPr="003C2DE9">
        <w:rPr>
          <w:rFonts w:eastAsia="Times New Roman" w:cstheme="minorHAnsi"/>
          <w:b/>
          <w:bCs/>
          <w:kern w:val="0"/>
          <w:lang w:eastAsia="es-CL"/>
          <w14:ligatures w14:val="none"/>
        </w:rPr>
        <w:t>Conclusión</w:t>
      </w:r>
    </w:p>
    <w:p w14:paraId="373E2DC6" w14:textId="77777777" w:rsidR="00EB7078" w:rsidRPr="00EB7078" w:rsidRDefault="00EB7078" w:rsidP="00EB7078">
      <w:pPr>
        <w:spacing w:after="0" w:line="240" w:lineRule="auto"/>
        <w:jc w:val="both"/>
        <w:rPr>
          <w:rFonts w:eastAsia="Times New Roman" w:cstheme="minorHAnsi"/>
          <w:kern w:val="0"/>
          <w:lang w:eastAsia="es-CL"/>
          <w14:ligatures w14:val="none"/>
        </w:rPr>
      </w:pPr>
      <w:r w:rsidRPr="00EB7078">
        <w:rPr>
          <w:rFonts w:eastAsia="Times New Roman" w:cstheme="minorHAnsi"/>
          <w:kern w:val="0"/>
          <w:lang w:eastAsia="es-CL"/>
          <w14:ligatures w14:val="none"/>
        </w:rPr>
        <w:t xml:space="preserve">El Trabajo Social en Chile arriba a su centenario en un período histórico particularmente retador. En un panorama global y local marcado por crisis sociales, políticas y medioambientales, la disciplina se enfrenta a una encrucijada clave: ya sea que continúe atada a una perspectiva neoliberal, apolítica y adaptada al sistema vigente, o que rescate su llamado crítico y se consolide como una práctica dedicada a la dignidad y la equidad social. </w:t>
      </w:r>
    </w:p>
    <w:p w14:paraId="676EE416" w14:textId="77777777" w:rsidR="00EB7078" w:rsidRPr="00EB7078" w:rsidRDefault="00EB7078" w:rsidP="00EB7078">
      <w:pPr>
        <w:spacing w:after="0" w:line="240" w:lineRule="auto"/>
        <w:jc w:val="both"/>
        <w:rPr>
          <w:rFonts w:eastAsia="Times New Roman" w:cstheme="minorHAnsi"/>
          <w:kern w:val="0"/>
          <w:lang w:eastAsia="es-CL"/>
          <w14:ligatures w14:val="none"/>
        </w:rPr>
      </w:pPr>
    </w:p>
    <w:p w14:paraId="2431140F" w14:textId="77777777" w:rsidR="00EB7078" w:rsidRPr="00EB7078" w:rsidRDefault="00EB7078" w:rsidP="00EB7078">
      <w:pPr>
        <w:spacing w:after="0" w:line="240" w:lineRule="auto"/>
        <w:jc w:val="both"/>
        <w:rPr>
          <w:rFonts w:eastAsia="Times New Roman" w:cstheme="minorHAnsi"/>
          <w:kern w:val="0"/>
          <w:lang w:eastAsia="es-CL"/>
          <w14:ligatures w14:val="none"/>
        </w:rPr>
      </w:pPr>
      <w:r w:rsidRPr="00EB7078">
        <w:rPr>
          <w:rFonts w:eastAsia="Times New Roman" w:cstheme="minorHAnsi"/>
          <w:kern w:val="0"/>
          <w:lang w:eastAsia="es-CL"/>
          <w14:ligatures w14:val="none"/>
        </w:rPr>
        <w:t xml:space="preserve">No obstante, esta elección no puede ser aislada ni teórica. Requiere una renovación conjunta del significado ético-político de la profesión, donde el papel del Colegio de Trabajadores Sociales de Chile es fundamental. Su ineficacia actual y su silencio ante las condiciones laborales precarias, las violaciones de derechos y la dependencia institucional del Trabajo Social, no solo constituyen una negligencia seria, sino que también manifiestan la crisis del liderazgo profesional en el sector público. </w:t>
      </w:r>
    </w:p>
    <w:p w14:paraId="09DB44CA" w14:textId="77777777" w:rsidR="00EB7078" w:rsidRPr="00EB7078" w:rsidRDefault="00EB7078" w:rsidP="00EB7078">
      <w:pPr>
        <w:spacing w:after="0" w:line="240" w:lineRule="auto"/>
        <w:jc w:val="both"/>
        <w:rPr>
          <w:rFonts w:eastAsia="Times New Roman" w:cstheme="minorHAnsi"/>
          <w:kern w:val="0"/>
          <w:lang w:eastAsia="es-CL"/>
          <w14:ligatures w14:val="none"/>
        </w:rPr>
      </w:pPr>
    </w:p>
    <w:p w14:paraId="3BEABBD8" w14:textId="77777777" w:rsidR="00EB7078" w:rsidRPr="00EB7078" w:rsidRDefault="00EB7078" w:rsidP="00EB7078">
      <w:pPr>
        <w:spacing w:after="0" w:line="240" w:lineRule="auto"/>
        <w:jc w:val="both"/>
        <w:rPr>
          <w:rFonts w:eastAsia="Times New Roman" w:cstheme="minorHAnsi"/>
          <w:kern w:val="0"/>
          <w:lang w:eastAsia="es-CL"/>
          <w14:ligatures w14:val="none"/>
        </w:rPr>
      </w:pPr>
      <w:r w:rsidRPr="00EB7078">
        <w:rPr>
          <w:rFonts w:eastAsia="Times New Roman" w:cstheme="minorHAnsi"/>
          <w:kern w:val="0"/>
          <w:lang w:eastAsia="es-CL"/>
          <w14:ligatures w14:val="none"/>
        </w:rPr>
        <w:t xml:space="preserve">Ante esto, es crucial devolver la política a la profesión. Esto implica releer la realidad desde una moral de la indignación crítica, entendiendo que la neutralidad es inviable en una sociedad intrínsecamente desigual, y asumiendo que la práctica profesional siempre implica una postura. Politizar el Trabajo Social no se refiere a tomar partido, sino a comprometerse con las luchas colectivas, con los derechos humanos y con la modificación de las condiciones de injusticia que generan aflicción y discriminación social. </w:t>
      </w:r>
    </w:p>
    <w:p w14:paraId="37352BBB" w14:textId="77777777" w:rsidR="00EB7078" w:rsidRPr="00EB7078" w:rsidRDefault="00EB7078" w:rsidP="00EB7078">
      <w:pPr>
        <w:spacing w:after="0" w:line="240" w:lineRule="auto"/>
        <w:jc w:val="both"/>
        <w:rPr>
          <w:rFonts w:eastAsia="Times New Roman" w:cstheme="minorHAnsi"/>
          <w:kern w:val="0"/>
          <w:lang w:eastAsia="es-CL"/>
          <w14:ligatures w14:val="none"/>
        </w:rPr>
      </w:pPr>
    </w:p>
    <w:p w14:paraId="0DDB6BBF" w14:textId="77777777" w:rsidR="00EB7078" w:rsidRPr="00EB7078" w:rsidRDefault="00EB7078" w:rsidP="00EB7078">
      <w:pPr>
        <w:spacing w:after="0" w:line="240" w:lineRule="auto"/>
        <w:jc w:val="both"/>
        <w:rPr>
          <w:rFonts w:eastAsia="Times New Roman" w:cstheme="minorHAnsi"/>
          <w:kern w:val="0"/>
          <w:lang w:eastAsia="es-CL"/>
          <w14:ligatures w14:val="none"/>
        </w:rPr>
      </w:pPr>
      <w:r w:rsidRPr="00EB7078">
        <w:rPr>
          <w:rFonts w:eastAsia="Times New Roman" w:cstheme="minorHAnsi"/>
          <w:kern w:val="0"/>
          <w:lang w:eastAsia="es-CL"/>
          <w14:ligatures w14:val="none"/>
        </w:rPr>
        <w:t xml:space="preserve">Paralelamente, es imprescindible transformar radicalmente el liderazgo político de los y las trabajadores sociales. Liderar no consiste en ocupar puestos de poder por el mero hecho, sino en ofrecer el conocimiento, la experiencia y la vocación profesional en pro de procesos de cambio. Este liderazgo debe surgir desde las bases, desde los equipos, desde la academia, pero también debe ganar terreno en los ámbitos institucionales, sindicales y legislativos. </w:t>
      </w:r>
    </w:p>
    <w:p w14:paraId="35C12474" w14:textId="77777777" w:rsidR="00EB7078" w:rsidRPr="00EB7078" w:rsidRDefault="00EB7078" w:rsidP="00EB7078">
      <w:pPr>
        <w:spacing w:after="0" w:line="240" w:lineRule="auto"/>
        <w:jc w:val="both"/>
        <w:rPr>
          <w:rFonts w:eastAsia="Times New Roman" w:cstheme="minorHAnsi"/>
          <w:kern w:val="0"/>
          <w:lang w:eastAsia="es-CL"/>
          <w14:ligatures w14:val="none"/>
        </w:rPr>
      </w:pPr>
    </w:p>
    <w:p w14:paraId="4DA0341B" w14:textId="77777777" w:rsidR="00EB7078" w:rsidRPr="00EB7078" w:rsidRDefault="00EB7078" w:rsidP="00EB7078">
      <w:pPr>
        <w:spacing w:after="0" w:line="240" w:lineRule="auto"/>
        <w:jc w:val="both"/>
        <w:rPr>
          <w:rFonts w:eastAsia="Times New Roman" w:cstheme="minorHAnsi"/>
          <w:kern w:val="0"/>
          <w:lang w:eastAsia="es-CL"/>
          <w14:ligatures w14:val="none"/>
        </w:rPr>
      </w:pPr>
      <w:r w:rsidRPr="00EB7078">
        <w:rPr>
          <w:rFonts w:eastAsia="Times New Roman" w:cstheme="minorHAnsi"/>
          <w:kern w:val="0"/>
          <w:lang w:eastAsia="es-CL"/>
          <w14:ligatures w14:val="none"/>
        </w:rPr>
        <w:t xml:space="preserve">Los y las trabajadores sociales cuentan con la formación, la sensibilidad y la experiencia necesaria para cuestionar el concepto de lo público y contribuir a una política centrada en la consecución de la justicia social y el anti-neoliberalismo. </w:t>
      </w:r>
    </w:p>
    <w:p w14:paraId="15FBD1F8" w14:textId="77777777" w:rsidR="00EB7078" w:rsidRPr="00EB7078" w:rsidRDefault="00EB7078" w:rsidP="00EB7078">
      <w:pPr>
        <w:spacing w:after="0" w:line="240" w:lineRule="auto"/>
        <w:jc w:val="both"/>
        <w:rPr>
          <w:rFonts w:eastAsia="Times New Roman" w:cstheme="minorHAnsi"/>
          <w:kern w:val="0"/>
          <w:lang w:eastAsia="es-CL"/>
          <w14:ligatures w14:val="none"/>
        </w:rPr>
      </w:pPr>
    </w:p>
    <w:p w14:paraId="318596D9" w14:textId="78B2C89E" w:rsidR="003C2DE9" w:rsidRPr="003C2DE9" w:rsidRDefault="00EB7078" w:rsidP="00EB7078">
      <w:pPr>
        <w:spacing w:after="0" w:line="240" w:lineRule="auto"/>
        <w:jc w:val="both"/>
        <w:rPr>
          <w:rFonts w:eastAsia="Times New Roman" w:cstheme="minorHAnsi"/>
          <w:kern w:val="0"/>
          <w:lang w:eastAsia="es-CL"/>
          <w14:ligatures w14:val="none"/>
        </w:rPr>
      </w:pPr>
      <w:r w:rsidRPr="00EB7078">
        <w:rPr>
          <w:rFonts w:eastAsia="Times New Roman" w:cstheme="minorHAnsi"/>
          <w:kern w:val="0"/>
          <w:lang w:eastAsia="es-CL"/>
          <w14:ligatures w14:val="none"/>
        </w:rPr>
        <w:t>El centenario del Trabajo Social en Chile no debe limitarse a una mera celebración. Debe ser una ocasión para despertar la conciencia gremial, reconstruir las entidades representativas desde una ética activa y recuperar el propósito histórico de una profesión concebida para la liberación, no para la gestión y la perpetuación de la exclusión.</w:t>
      </w:r>
    </w:p>
    <w:p w14:paraId="3C836B83"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260C6320"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70327A45" w14:textId="77777777" w:rsidR="00214B1F" w:rsidRDefault="00214B1F" w:rsidP="003C2DE9">
      <w:pPr>
        <w:spacing w:before="100" w:beforeAutospacing="1" w:after="100" w:afterAutospacing="1" w:line="240" w:lineRule="auto"/>
        <w:jc w:val="both"/>
        <w:rPr>
          <w:rFonts w:eastAsia="Times New Roman" w:cstheme="minorHAnsi"/>
          <w:b/>
          <w:bCs/>
          <w:kern w:val="0"/>
          <w:lang w:eastAsia="es-CL"/>
          <w14:ligatures w14:val="none"/>
        </w:rPr>
      </w:pPr>
    </w:p>
    <w:p w14:paraId="6CF8C8E3" w14:textId="13E35AFA" w:rsidR="003C2DE9" w:rsidRPr="003C2DE9" w:rsidRDefault="00FE2024" w:rsidP="003C2DE9">
      <w:pPr>
        <w:spacing w:before="100" w:beforeAutospacing="1" w:after="100" w:afterAutospacing="1" w:line="240" w:lineRule="auto"/>
        <w:jc w:val="both"/>
        <w:rPr>
          <w:rFonts w:eastAsia="Times New Roman" w:cstheme="minorHAnsi"/>
          <w:kern w:val="0"/>
          <w:lang w:eastAsia="es-CL"/>
          <w14:ligatures w14:val="none"/>
        </w:rPr>
      </w:pPr>
      <w:r>
        <w:rPr>
          <w:rFonts w:eastAsia="Times New Roman" w:cstheme="minorHAnsi"/>
          <w:b/>
          <w:bCs/>
          <w:kern w:val="0"/>
          <w:lang w:eastAsia="es-CL"/>
          <w14:ligatures w14:val="none"/>
        </w:rPr>
        <w:t xml:space="preserve">Bibliografía </w:t>
      </w:r>
    </w:p>
    <w:p w14:paraId="1F3FA64D" w14:textId="77777777" w:rsidR="003C2DE9" w:rsidRPr="003C2DE9" w:rsidRDefault="003C2DE9" w:rsidP="003C2DE9">
      <w:pPr>
        <w:spacing w:before="100" w:beforeAutospacing="1" w:after="100" w:afterAutospacing="1" w:line="240" w:lineRule="auto"/>
        <w:jc w:val="both"/>
        <w:rPr>
          <w:rFonts w:eastAsia="Times New Roman" w:cstheme="minorHAnsi"/>
          <w:kern w:val="0"/>
          <w:lang w:eastAsia="es-CL"/>
          <w14:ligatures w14:val="none"/>
        </w:rPr>
      </w:pPr>
      <w:r w:rsidRPr="003C2DE9">
        <w:rPr>
          <w:rFonts w:eastAsia="Times New Roman" w:cstheme="minorHAnsi"/>
          <w:kern w:val="0"/>
          <w:lang w:eastAsia="es-CL"/>
          <w14:ligatures w14:val="none"/>
        </w:rPr>
        <w:t xml:space="preserve">Cortina, A. (1997). </w:t>
      </w:r>
      <w:r w:rsidRPr="003C2DE9">
        <w:rPr>
          <w:rFonts w:eastAsia="Times New Roman" w:cstheme="minorHAnsi"/>
          <w:i/>
          <w:iCs/>
          <w:kern w:val="0"/>
          <w:lang w:eastAsia="es-CL"/>
          <w14:ligatures w14:val="none"/>
        </w:rPr>
        <w:t>Ciudadanos del mundo: Hacia una teoría de la ciudadanía</w:t>
      </w:r>
      <w:r w:rsidRPr="003C2DE9">
        <w:rPr>
          <w:rFonts w:eastAsia="Times New Roman" w:cstheme="minorHAnsi"/>
          <w:kern w:val="0"/>
          <w:lang w:eastAsia="es-CL"/>
          <w14:ligatures w14:val="none"/>
        </w:rPr>
        <w:t>. Alianza Editorial.</w:t>
      </w:r>
    </w:p>
    <w:p w14:paraId="67DB98EF" w14:textId="77777777" w:rsidR="003C2DE9" w:rsidRPr="003C2DE9" w:rsidRDefault="003C2DE9" w:rsidP="003C2DE9">
      <w:pPr>
        <w:spacing w:before="100" w:beforeAutospacing="1" w:after="100" w:afterAutospacing="1" w:line="240" w:lineRule="auto"/>
        <w:jc w:val="both"/>
        <w:rPr>
          <w:rFonts w:eastAsia="Times New Roman" w:cstheme="minorHAnsi"/>
          <w:kern w:val="0"/>
          <w:lang w:eastAsia="es-CL"/>
          <w14:ligatures w14:val="none"/>
        </w:rPr>
      </w:pPr>
      <w:r w:rsidRPr="003C2DE9">
        <w:rPr>
          <w:rFonts w:eastAsia="Times New Roman" w:cstheme="minorHAnsi"/>
          <w:kern w:val="0"/>
          <w:lang w:eastAsia="es-CL"/>
          <w14:ligatures w14:val="none"/>
        </w:rPr>
        <w:t xml:space="preserve">Freire, P. (2005). </w:t>
      </w:r>
      <w:r w:rsidRPr="003C2DE9">
        <w:rPr>
          <w:rFonts w:eastAsia="Times New Roman" w:cstheme="minorHAnsi"/>
          <w:i/>
          <w:iCs/>
          <w:kern w:val="0"/>
          <w:lang w:eastAsia="es-CL"/>
          <w14:ligatures w14:val="none"/>
        </w:rPr>
        <w:t>Pedagogía del oprimido</w:t>
      </w:r>
      <w:r w:rsidRPr="003C2DE9">
        <w:rPr>
          <w:rFonts w:eastAsia="Times New Roman" w:cstheme="minorHAnsi"/>
          <w:kern w:val="0"/>
          <w:lang w:eastAsia="es-CL"/>
          <w14:ligatures w14:val="none"/>
        </w:rPr>
        <w:t xml:space="preserve"> (30.ª ed.). Siglo XXI Editores. (Original publicado en 1970)</w:t>
      </w:r>
    </w:p>
    <w:p w14:paraId="6E86F52B" w14:textId="77777777" w:rsidR="003C2DE9" w:rsidRPr="003C2DE9" w:rsidRDefault="003C2DE9" w:rsidP="003C2DE9">
      <w:pPr>
        <w:spacing w:before="100" w:beforeAutospacing="1" w:after="100" w:afterAutospacing="1" w:line="240" w:lineRule="auto"/>
        <w:jc w:val="both"/>
        <w:rPr>
          <w:rFonts w:eastAsia="Times New Roman" w:cstheme="minorHAnsi"/>
          <w:kern w:val="0"/>
          <w:lang w:eastAsia="es-CL"/>
          <w14:ligatures w14:val="none"/>
        </w:rPr>
      </w:pPr>
      <w:r w:rsidRPr="003C2DE9">
        <w:rPr>
          <w:rFonts w:eastAsia="Times New Roman" w:cstheme="minorHAnsi"/>
          <w:kern w:val="0"/>
          <w:lang w:eastAsia="es-CL"/>
          <w14:ligatures w14:val="none"/>
        </w:rPr>
        <w:t xml:space="preserve">Gajardo, M. (2018). </w:t>
      </w:r>
      <w:r w:rsidRPr="003C2DE9">
        <w:rPr>
          <w:rFonts w:eastAsia="Times New Roman" w:cstheme="minorHAnsi"/>
          <w:i/>
          <w:iCs/>
          <w:kern w:val="0"/>
          <w:lang w:eastAsia="es-CL"/>
          <w14:ligatures w14:val="none"/>
        </w:rPr>
        <w:t>Trabajo Social: Sujetos, saberes y resistencias</w:t>
      </w:r>
      <w:r w:rsidRPr="003C2DE9">
        <w:rPr>
          <w:rFonts w:eastAsia="Times New Roman" w:cstheme="minorHAnsi"/>
          <w:kern w:val="0"/>
          <w:lang w:eastAsia="es-CL"/>
          <w14:ligatures w14:val="none"/>
        </w:rPr>
        <w:t>. Ediciones Universidad Católica Silva Henríquez.</w:t>
      </w:r>
    </w:p>
    <w:p w14:paraId="4A78657C" w14:textId="77777777" w:rsidR="003C2DE9" w:rsidRPr="003C2DE9" w:rsidRDefault="003C2DE9" w:rsidP="003C2DE9">
      <w:pPr>
        <w:spacing w:before="100" w:beforeAutospacing="1" w:after="100" w:afterAutospacing="1" w:line="240" w:lineRule="auto"/>
        <w:jc w:val="both"/>
        <w:rPr>
          <w:rFonts w:eastAsia="Times New Roman" w:cstheme="minorHAnsi"/>
          <w:kern w:val="0"/>
          <w:lang w:eastAsia="es-CL"/>
          <w14:ligatures w14:val="none"/>
        </w:rPr>
      </w:pPr>
      <w:r w:rsidRPr="003C2DE9">
        <w:rPr>
          <w:rFonts w:eastAsia="Times New Roman" w:cstheme="minorHAnsi"/>
          <w:kern w:val="0"/>
          <w:lang w:eastAsia="es-CL"/>
          <w14:ligatures w14:val="none"/>
        </w:rPr>
        <w:t xml:space="preserve">Romero, M. (2019). </w:t>
      </w:r>
      <w:r w:rsidRPr="003C2DE9">
        <w:rPr>
          <w:rFonts w:eastAsia="Times New Roman" w:cstheme="minorHAnsi"/>
          <w:i/>
          <w:iCs/>
          <w:kern w:val="0"/>
          <w:lang w:eastAsia="es-CL"/>
          <w14:ligatures w14:val="none"/>
        </w:rPr>
        <w:t>Decolonialidad y Trabajo Social: Una mirada desde los márgenes</w:t>
      </w:r>
      <w:r w:rsidRPr="003C2DE9">
        <w:rPr>
          <w:rFonts w:eastAsia="Times New Roman" w:cstheme="minorHAnsi"/>
          <w:kern w:val="0"/>
          <w:lang w:eastAsia="es-CL"/>
          <w14:ligatures w14:val="none"/>
        </w:rPr>
        <w:t xml:space="preserve">. </w:t>
      </w:r>
      <w:r w:rsidRPr="003C2DE9">
        <w:rPr>
          <w:rFonts w:eastAsia="Times New Roman" w:cstheme="minorHAnsi"/>
          <w:i/>
          <w:iCs/>
          <w:kern w:val="0"/>
          <w:lang w:eastAsia="es-CL"/>
          <w14:ligatures w14:val="none"/>
        </w:rPr>
        <w:t>Revista de Trabajo Social</w:t>
      </w:r>
      <w:r w:rsidRPr="003C2DE9">
        <w:rPr>
          <w:rFonts w:eastAsia="Times New Roman" w:cstheme="minorHAnsi"/>
          <w:kern w:val="0"/>
          <w:lang w:eastAsia="es-CL"/>
          <w14:ligatures w14:val="none"/>
        </w:rPr>
        <w:t>, 27(2), 45–63.</w:t>
      </w:r>
    </w:p>
    <w:p w14:paraId="07DA316C" w14:textId="77777777" w:rsidR="003C2DE9" w:rsidRPr="003C2DE9" w:rsidRDefault="003C2DE9" w:rsidP="003C2DE9">
      <w:pPr>
        <w:spacing w:before="100" w:beforeAutospacing="1" w:after="100" w:afterAutospacing="1" w:line="240" w:lineRule="auto"/>
        <w:jc w:val="both"/>
        <w:rPr>
          <w:rFonts w:eastAsia="Times New Roman" w:cstheme="minorHAnsi"/>
          <w:kern w:val="0"/>
          <w:lang w:eastAsia="es-CL"/>
          <w14:ligatures w14:val="none"/>
        </w:rPr>
      </w:pPr>
      <w:r w:rsidRPr="003C2DE9">
        <w:rPr>
          <w:rFonts w:eastAsia="Times New Roman" w:cstheme="minorHAnsi"/>
          <w:kern w:val="0"/>
          <w:lang w:eastAsia="es-CL"/>
          <w14:ligatures w14:val="none"/>
        </w:rPr>
        <w:t xml:space="preserve">Yáñez, J. C. (2011). </w:t>
      </w:r>
      <w:r w:rsidRPr="003C2DE9">
        <w:rPr>
          <w:rFonts w:eastAsia="Times New Roman" w:cstheme="minorHAnsi"/>
          <w:i/>
          <w:iCs/>
          <w:kern w:val="0"/>
          <w:lang w:eastAsia="es-CL"/>
          <w14:ligatures w14:val="none"/>
        </w:rPr>
        <w:t>Trabajo Social y praxis crítica: Historia y desafíos</w:t>
      </w:r>
      <w:r w:rsidRPr="003C2DE9">
        <w:rPr>
          <w:rFonts w:eastAsia="Times New Roman" w:cstheme="minorHAnsi"/>
          <w:kern w:val="0"/>
          <w:lang w:eastAsia="es-CL"/>
          <w14:ligatures w14:val="none"/>
        </w:rPr>
        <w:t xml:space="preserve">. </w:t>
      </w:r>
      <w:r w:rsidRPr="003C2DE9">
        <w:rPr>
          <w:rFonts w:eastAsia="Times New Roman" w:cstheme="minorHAnsi"/>
          <w:i/>
          <w:iCs/>
          <w:kern w:val="0"/>
          <w:lang w:eastAsia="es-CL"/>
          <w14:ligatures w14:val="none"/>
        </w:rPr>
        <w:t>Revista Latinoamericana de Trabajo Social</w:t>
      </w:r>
      <w:r w:rsidRPr="003C2DE9">
        <w:rPr>
          <w:rFonts w:eastAsia="Times New Roman" w:cstheme="minorHAnsi"/>
          <w:kern w:val="0"/>
          <w:lang w:eastAsia="es-CL"/>
          <w14:ligatures w14:val="none"/>
        </w:rPr>
        <w:t>, (12), 15–34.</w:t>
      </w:r>
    </w:p>
    <w:p w14:paraId="57B48419" w14:textId="13B5DEAB" w:rsidR="00E26953" w:rsidRPr="005E7790" w:rsidRDefault="00E26953" w:rsidP="003C2DE9">
      <w:pPr>
        <w:jc w:val="both"/>
        <w:rPr>
          <w:rFonts w:cstheme="minorHAnsi"/>
        </w:rPr>
      </w:pPr>
    </w:p>
    <w:sectPr w:rsidR="00E26953" w:rsidRPr="005E779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FC86" w14:textId="77777777" w:rsidR="008C235B" w:rsidRDefault="008C235B" w:rsidP="00E23A7C">
      <w:pPr>
        <w:spacing w:after="0" w:line="240" w:lineRule="auto"/>
      </w:pPr>
      <w:r>
        <w:separator/>
      </w:r>
    </w:p>
  </w:endnote>
  <w:endnote w:type="continuationSeparator" w:id="0">
    <w:p w14:paraId="4FEEC754" w14:textId="77777777" w:rsidR="008C235B" w:rsidRDefault="008C235B" w:rsidP="00E2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2990" w14:textId="77777777" w:rsidR="008C235B" w:rsidRDefault="008C235B" w:rsidP="00E23A7C">
      <w:pPr>
        <w:spacing w:after="0" w:line="240" w:lineRule="auto"/>
      </w:pPr>
      <w:r>
        <w:separator/>
      </w:r>
    </w:p>
  </w:footnote>
  <w:footnote w:type="continuationSeparator" w:id="0">
    <w:p w14:paraId="22B246D8" w14:textId="77777777" w:rsidR="008C235B" w:rsidRDefault="008C235B" w:rsidP="00E2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68A3" w14:textId="05B77F5B" w:rsidR="00E23A7C" w:rsidRDefault="00E23A7C">
    <w:pPr>
      <w:pStyle w:val="Encabezado"/>
    </w:pPr>
    <w:r>
      <w:rPr>
        <w:noProof/>
      </w:rPr>
      <w:drawing>
        <wp:anchor distT="0" distB="0" distL="114300" distR="114300" simplePos="0" relativeHeight="251658240" behindDoc="1" locked="0" layoutInCell="1" allowOverlap="1" wp14:anchorId="6B9D7376" wp14:editId="7295DCA8">
          <wp:simplePos x="0" y="0"/>
          <wp:positionH relativeFrom="margin">
            <wp:posOffset>-393405</wp:posOffset>
          </wp:positionH>
          <wp:positionV relativeFrom="paragraph">
            <wp:posOffset>-161733</wp:posOffset>
          </wp:positionV>
          <wp:extent cx="1819403" cy="606056"/>
          <wp:effectExtent l="0" t="0" r="0" b="3810"/>
          <wp:wrapNone/>
          <wp:docPr id="102868935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89350"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819403" cy="6060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310D4"/>
    <w:multiLevelType w:val="hybridMultilevel"/>
    <w:tmpl w:val="75CCB2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7965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53"/>
    <w:rsid w:val="0001652E"/>
    <w:rsid w:val="00056DC7"/>
    <w:rsid w:val="00073D60"/>
    <w:rsid w:val="000A75FF"/>
    <w:rsid w:val="0016220A"/>
    <w:rsid w:val="00193968"/>
    <w:rsid w:val="001F64E2"/>
    <w:rsid w:val="00214B1F"/>
    <w:rsid w:val="00227FD2"/>
    <w:rsid w:val="002B76AA"/>
    <w:rsid w:val="002C04B7"/>
    <w:rsid w:val="003C2DE9"/>
    <w:rsid w:val="00500902"/>
    <w:rsid w:val="0054367B"/>
    <w:rsid w:val="00544D06"/>
    <w:rsid w:val="00554356"/>
    <w:rsid w:val="005B584A"/>
    <w:rsid w:val="005E7790"/>
    <w:rsid w:val="00602372"/>
    <w:rsid w:val="00617947"/>
    <w:rsid w:val="00620AE5"/>
    <w:rsid w:val="00630643"/>
    <w:rsid w:val="00652D9C"/>
    <w:rsid w:val="00657560"/>
    <w:rsid w:val="00662BE6"/>
    <w:rsid w:val="00683FE1"/>
    <w:rsid w:val="0068510C"/>
    <w:rsid w:val="006C41F1"/>
    <w:rsid w:val="0072016E"/>
    <w:rsid w:val="00771DB2"/>
    <w:rsid w:val="00781D62"/>
    <w:rsid w:val="007C6B15"/>
    <w:rsid w:val="007D3176"/>
    <w:rsid w:val="00895066"/>
    <w:rsid w:val="008A6B88"/>
    <w:rsid w:val="008C235B"/>
    <w:rsid w:val="009516B1"/>
    <w:rsid w:val="009E7168"/>
    <w:rsid w:val="00A12B2C"/>
    <w:rsid w:val="00AE0107"/>
    <w:rsid w:val="00AE4472"/>
    <w:rsid w:val="00B2299B"/>
    <w:rsid w:val="00B2632F"/>
    <w:rsid w:val="00B874F1"/>
    <w:rsid w:val="00C04B70"/>
    <w:rsid w:val="00C2464C"/>
    <w:rsid w:val="00C9604E"/>
    <w:rsid w:val="00CE4F75"/>
    <w:rsid w:val="00D1627D"/>
    <w:rsid w:val="00D6184E"/>
    <w:rsid w:val="00D8730B"/>
    <w:rsid w:val="00E07708"/>
    <w:rsid w:val="00E23A7C"/>
    <w:rsid w:val="00E26953"/>
    <w:rsid w:val="00E6181C"/>
    <w:rsid w:val="00E71739"/>
    <w:rsid w:val="00EB7078"/>
    <w:rsid w:val="00F448B1"/>
    <w:rsid w:val="00F75DEA"/>
    <w:rsid w:val="00FD301C"/>
    <w:rsid w:val="00FE2024"/>
    <w:rsid w:val="00FF72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734F9"/>
  <w15:chartTrackingRefBased/>
  <w15:docId w15:val="{CB6C872D-6475-4460-AE3A-0C9FB173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69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269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2695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2695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2695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269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69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69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69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695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2695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2695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2695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2695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269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69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69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6953"/>
    <w:rPr>
      <w:rFonts w:eastAsiaTheme="majorEastAsia" w:cstheme="majorBidi"/>
      <w:color w:val="272727" w:themeColor="text1" w:themeTint="D8"/>
    </w:rPr>
  </w:style>
  <w:style w:type="paragraph" w:styleId="Ttulo">
    <w:name w:val="Title"/>
    <w:basedOn w:val="Normal"/>
    <w:next w:val="Normal"/>
    <w:link w:val="TtuloCar"/>
    <w:uiPriority w:val="10"/>
    <w:qFormat/>
    <w:rsid w:val="00E26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69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69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69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6953"/>
    <w:pPr>
      <w:spacing w:before="160"/>
      <w:jc w:val="center"/>
    </w:pPr>
    <w:rPr>
      <w:i/>
      <w:iCs/>
      <w:color w:val="404040" w:themeColor="text1" w:themeTint="BF"/>
    </w:rPr>
  </w:style>
  <w:style w:type="character" w:customStyle="1" w:styleId="CitaCar">
    <w:name w:val="Cita Car"/>
    <w:basedOn w:val="Fuentedeprrafopredeter"/>
    <w:link w:val="Cita"/>
    <w:uiPriority w:val="29"/>
    <w:rsid w:val="00E26953"/>
    <w:rPr>
      <w:i/>
      <w:iCs/>
      <w:color w:val="404040" w:themeColor="text1" w:themeTint="BF"/>
    </w:rPr>
  </w:style>
  <w:style w:type="paragraph" w:styleId="Prrafodelista">
    <w:name w:val="List Paragraph"/>
    <w:basedOn w:val="Normal"/>
    <w:uiPriority w:val="34"/>
    <w:qFormat/>
    <w:rsid w:val="00E26953"/>
    <w:pPr>
      <w:ind w:left="720"/>
      <w:contextualSpacing/>
    </w:pPr>
  </w:style>
  <w:style w:type="character" w:styleId="nfasisintenso">
    <w:name w:val="Intense Emphasis"/>
    <w:basedOn w:val="Fuentedeprrafopredeter"/>
    <w:uiPriority w:val="21"/>
    <w:qFormat/>
    <w:rsid w:val="00E26953"/>
    <w:rPr>
      <w:i/>
      <w:iCs/>
      <w:color w:val="2F5496" w:themeColor="accent1" w:themeShade="BF"/>
    </w:rPr>
  </w:style>
  <w:style w:type="paragraph" w:styleId="Citadestacada">
    <w:name w:val="Intense Quote"/>
    <w:basedOn w:val="Normal"/>
    <w:next w:val="Normal"/>
    <w:link w:val="CitadestacadaCar"/>
    <w:uiPriority w:val="30"/>
    <w:qFormat/>
    <w:rsid w:val="00E269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26953"/>
    <w:rPr>
      <w:i/>
      <w:iCs/>
      <w:color w:val="2F5496" w:themeColor="accent1" w:themeShade="BF"/>
    </w:rPr>
  </w:style>
  <w:style w:type="character" w:styleId="Referenciaintensa">
    <w:name w:val="Intense Reference"/>
    <w:basedOn w:val="Fuentedeprrafopredeter"/>
    <w:uiPriority w:val="32"/>
    <w:qFormat/>
    <w:rsid w:val="00E26953"/>
    <w:rPr>
      <w:b/>
      <w:bCs/>
      <w:smallCaps/>
      <w:color w:val="2F5496" w:themeColor="accent1" w:themeShade="BF"/>
      <w:spacing w:val="5"/>
    </w:rPr>
  </w:style>
  <w:style w:type="paragraph" w:styleId="Encabezado">
    <w:name w:val="header"/>
    <w:basedOn w:val="Normal"/>
    <w:link w:val="EncabezadoCar"/>
    <w:uiPriority w:val="99"/>
    <w:unhideWhenUsed/>
    <w:rsid w:val="00E23A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A7C"/>
  </w:style>
  <w:style w:type="paragraph" w:styleId="Piedepgina">
    <w:name w:val="footer"/>
    <w:basedOn w:val="Normal"/>
    <w:link w:val="PiedepginaCar"/>
    <w:uiPriority w:val="99"/>
    <w:unhideWhenUsed/>
    <w:rsid w:val="00E23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5810">
      <w:bodyDiv w:val="1"/>
      <w:marLeft w:val="0"/>
      <w:marRight w:val="0"/>
      <w:marTop w:val="0"/>
      <w:marBottom w:val="0"/>
      <w:divBdr>
        <w:top w:val="none" w:sz="0" w:space="0" w:color="auto"/>
        <w:left w:val="none" w:sz="0" w:space="0" w:color="auto"/>
        <w:bottom w:val="none" w:sz="0" w:space="0" w:color="auto"/>
        <w:right w:val="none" w:sz="0" w:space="0" w:color="auto"/>
      </w:divBdr>
    </w:div>
    <w:div w:id="31611551">
      <w:bodyDiv w:val="1"/>
      <w:marLeft w:val="0"/>
      <w:marRight w:val="0"/>
      <w:marTop w:val="0"/>
      <w:marBottom w:val="0"/>
      <w:divBdr>
        <w:top w:val="none" w:sz="0" w:space="0" w:color="auto"/>
        <w:left w:val="none" w:sz="0" w:space="0" w:color="auto"/>
        <w:bottom w:val="none" w:sz="0" w:space="0" w:color="auto"/>
        <w:right w:val="none" w:sz="0" w:space="0" w:color="auto"/>
      </w:divBdr>
    </w:div>
    <w:div w:id="123936610">
      <w:bodyDiv w:val="1"/>
      <w:marLeft w:val="0"/>
      <w:marRight w:val="0"/>
      <w:marTop w:val="0"/>
      <w:marBottom w:val="0"/>
      <w:divBdr>
        <w:top w:val="none" w:sz="0" w:space="0" w:color="auto"/>
        <w:left w:val="none" w:sz="0" w:space="0" w:color="auto"/>
        <w:bottom w:val="none" w:sz="0" w:space="0" w:color="auto"/>
        <w:right w:val="none" w:sz="0" w:space="0" w:color="auto"/>
      </w:divBdr>
    </w:div>
    <w:div w:id="351031771">
      <w:bodyDiv w:val="1"/>
      <w:marLeft w:val="0"/>
      <w:marRight w:val="0"/>
      <w:marTop w:val="0"/>
      <w:marBottom w:val="0"/>
      <w:divBdr>
        <w:top w:val="none" w:sz="0" w:space="0" w:color="auto"/>
        <w:left w:val="none" w:sz="0" w:space="0" w:color="auto"/>
        <w:bottom w:val="none" w:sz="0" w:space="0" w:color="auto"/>
        <w:right w:val="none" w:sz="0" w:space="0" w:color="auto"/>
      </w:divBdr>
    </w:div>
    <w:div w:id="388726299">
      <w:bodyDiv w:val="1"/>
      <w:marLeft w:val="0"/>
      <w:marRight w:val="0"/>
      <w:marTop w:val="0"/>
      <w:marBottom w:val="0"/>
      <w:divBdr>
        <w:top w:val="none" w:sz="0" w:space="0" w:color="auto"/>
        <w:left w:val="none" w:sz="0" w:space="0" w:color="auto"/>
        <w:bottom w:val="none" w:sz="0" w:space="0" w:color="auto"/>
        <w:right w:val="none" w:sz="0" w:space="0" w:color="auto"/>
      </w:divBdr>
    </w:div>
    <w:div w:id="585499215">
      <w:bodyDiv w:val="1"/>
      <w:marLeft w:val="0"/>
      <w:marRight w:val="0"/>
      <w:marTop w:val="0"/>
      <w:marBottom w:val="0"/>
      <w:divBdr>
        <w:top w:val="none" w:sz="0" w:space="0" w:color="auto"/>
        <w:left w:val="none" w:sz="0" w:space="0" w:color="auto"/>
        <w:bottom w:val="none" w:sz="0" w:space="0" w:color="auto"/>
        <w:right w:val="none" w:sz="0" w:space="0" w:color="auto"/>
      </w:divBdr>
    </w:div>
    <w:div w:id="18367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1625</Words>
  <Characters>8939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Rodriguez Sandoval</dc:creator>
  <cp:keywords/>
  <dc:description/>
  <cp:lastModifiedBy>Francisco Javier Rodriguez Sandoval</cp:lastModifiedBy>
  <cp:revision>12</cp:revision>
  <dcterms:created xsi:type="dcterms:W3CDTF">2025-04-12T22:43:00Z</dcterms:created>
  <dcterms:modified xsi:type="dcterms:W3CDTF">2025-04-12T23:55:00Z</dcterms:modified>
</cp:coreProperties>
</file>